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D1" w:rsidRDefault="00AB6BD1" w:rsidP="00AB6B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6BD1">
        <w:rPr>
          <w:rFonts w:ascii="Arial" w:hAnsi="Arial" w:cs="Arial"/>
          <w:b/>
          <w:bCs/>
          <w:sz w:val="24"/>
          <w:szCs w:val="24"/>
        </w:rPr>
        <w:t xml:space="preserve">ФЕДЕРАЛЬНАЯ СЛУЖБА ПО НАДЗОРУ В СФЕРЕ ЗАЩИТЫ ПРАВ ПОТРЕБИТЕЛЕЙ И БЛАГОПОЛУЧИЯ ЧЕЛОВЕКА </w:t>
      </w:r>
    </w:p>
    <w:p w:rsidR="00AB6BD1" w:rsidRDefault="00AB6BD1" w:rsidP="00AB6B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861A5" w:rsidRDefault="00AB6BD1" w:rsidP="00AB6B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6BD1">
        <w:rPr>
          <w:rFonts w:ascii="Arial" w:hAnsi="Arial" w:cs="Arial"/>
          <w:b/>
          <w:bCs/>
          <w:sz w:val="24"/>
          <w:szCs w:val="24"/>
        </w:rPr>
        <w:t>ИНФОРМАЦИЯ</w:t>
      </w:r>
    </w:p>
    <w:p w:rsidR="00AB6BD1" w:rsidRPr="00AB6BD1" w:rsidRDefault="00AB6BD1" w:rsidP="00AB6BD1">
      <w:pPr>
        <w:jc w:val="center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от 01 </w:t>
      </w:r>
      <w:r w:rsidR="0040493C">
        <w:rPr>
          <w:rFonts w:ascii="Arial" w:hAnsi="Arial" w:cs="Arial"/>
          <w:b/>
          <w:bCs/>
          <w:sz w:val="24"/>
          <w:szCs w:val="24"/>
        </w:rPr>
        <w:t>мая</w:t>
      </w:r>
      <w:r>
        <w:rPr>
          <w:rFonts w:ascii="Arial" w:hAnsi="Arial" w:cs="Arial"/>
          <w:b/>
          <w:bCs/>
          <w:sz w:val="24"/>
          <w:szCs w:val="24"/>
        </w:rPr>
        <w:t xml:space="preserve"> 2020 г.</w:t>
      </w:r>
    </w:p>
    <w:p w:rsidR="00AB6BD1" w:rsidRPr="00AB6BD1" w:rsidRDefault="00AB6BD1" w:rsidP="00AB6BD1">
      <w:pPr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</w:p>
    <w:p w:rsidR="00AB6BD1" w:rsidRPr="00AB6BD1" w:rsidRDefault="00AB6BD1" w:rsidP="00AB6B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6BD1">
        <w:rPr>
          <w:rFonts w:ascii="Arial" w:hAnsi="Arial" w:cs="Arial"/>
          <w:b/>
          <w:bCs/>
          <w:sz w:val="24"/>
          <w:szCs w:val="24"/>
        </w:rPr>
        <w:t>О приобретении лекарств онлайн в период пандемии коронавируса</w:t>
      </w:r>
    </w:p>
    <w:p w:rsidR="00AB6BD1" w:rsidRPr="00AB6BD1" w:rsidRDefault="00AB6BD1" w:rsidP="00AB6BD1">
      <w:pPr>
        <w:spacing w:after="0" w:line="240" w:lineRule="auto"/>
        <w:rPr>
          <w:rFonts w:ascii="Arial" w:hAnsi="Arial" w:cs="Arial"/>
          <w:color w:val="1D1D1D"/>
          <w:sz w:val="21"/>
          <w:szCs w:val="21"/>
          <w:lang w:eastAsia="ru-RU"/>
        </w:rPr>
      </w:pPr>
    </w:p>
    <w:p w:rsidR="00AB6BD1" w:rsidRPr="00AB6BD1" w:rsidRDefault="00AB6BD1" w:rsidP="00AB6BD1">
      <w:pPr>
        <w:spacing w:after="150" w:line="240" w:lineRule="auto"/>
        <w:rPr>
          <w:rFonts w:ascii="Arial" w:hAnsi="Arial" w:cs="Arial"/>
          <w:color w:val="242424"/>
          <w:sz w:val="21"/>
          <w:szCs w:val="21"/>
          <w:lang w:eastAsia="ru-RU"/>
        </w:rPr>
      </w:pPr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>В период борьбы с коронавирусом произошли существенные изменения, касающиеся покупки ле</w:t>
      </w:r>
      <w:r w:rsidR="00F32A74">
        <w:rPr>
          <w:rFonts w:ascii="Arial" w:hAnsi="Arial" w:cs="Arial"/>
          <w:color w:val="242424"/>
          <w:sz w:val="21"/>
          <w:szCs w:val="21"/>
          <w:lang w:eastAsia="ru-RU"/>
        </w:rPr>
        <w:t>карств онлайн (ранее такая прод</w:t>
      </w:r>
      <w:r w:rsidR="00797986">
        <w:rPr>
          <w:rFonts w:ascii="Arial" w:hAnsi="Arial" w:cs="Arial"/>
          <w:color w:val="242424"/>
          <w:sz w:val="21"/>
          <w:szCs w:val="21"/>
          <w:lang w:eastAsia="ru-RU"/>
        </w:rPr>
        <w:t>а</w:t>
      </w:r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>ажа была запрещена).</w:t>
      </w:r>
    </w:p>
    <w:p w:rsidR="00AB6BD1" w:rsidRPr="00AB6BD1" w:rsidRDefault="00AB6BD1" w:rsidP="00AB6BD1">
      <w:pPr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 xml:space="preserve">Поправки к Закону от 12 апреля 2010 г. № 61-ФЗ "Об обращении лекарственных средств" устанавливают </w:t>
      </w:r>
      <w:r w:rsidRPr="00AB6BD1">
        <w:rPr>
          <w:rFonts w:ascii="Arial" w:hAnsi="Arial" w:cs="Arial"/>
          <w:b/>
          <w:bCs/>
          <w:color w:val="242424"/>
          <w:sz w:val="21"/>
          <w:szCs w:val="21"/>
          <w:lang w:eastAsia="ru-RU"/>
        </w:rPr>
        <w:t>возможность дистанционной продажи безрецептурных лекарств</w:t>
      </w:r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 xml:space="preserve"> и, таким образом, направлены разрешение деятельности интернет-аптек с минимальными ограничениями.</w:t>
      </w:r>
    </w:p>
    <w:p w:rsidR="00AB6BD1" w:rsidRPr="00AB6BD1" w:rsidRDefault="00AB6BD1" w:rsidP="00AB6BD1">
      <w:pPr>
        <w:spacing w:after="15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>При этом нельзя продавать через интернет наркопрепараты и психотропы, а также спиртосодержащие препараты с объемной долей этанола свыше 25% (например, зеленку, настойки валерианы, прополиса или эхинацеи, корвалол, валокордин, спиртовой раствор салициловой кислоты и подобные).</w:t>
      </w:r>
    </w:p>
    <w:p w:rsidR="00AB6BD1" w:rsidRPr="00AB6BD1" w:rsidRDefault="00AB6BD1" w:rsidP="00AB6BD1">
      <w:pPr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 xml:space="preserve">Согласно поправкам торговать лекарственными препаратами для медицинского применения в розницу могут </w:t>
      </w:r>
      <w:r w:rsidRPr="00AB6BD1">
        <w:rPr>
          <w:rFonts w:ascii="Arial" w:hAnsi="Arial" w:cs="Arial"/>
          <w:b/>
          <w:bCs/>
          <w:color w:val="242424"/>
          <w:sz w:val="21"/>
          <w:szCs w:val="21"/>
          <w:lang w:eastAsia="ru-RU"/>
        </w:rPr>
        <w:t>аптечные организации, имеющие лицензию на фармацевтическую деятельность</w:t>
      </w:r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 xml:space="preserve"> и соответствующее </w:t>
      </w:r>
      <w:r w:rsidRPr="00AB6BD1">
        <w:rPr>
          <w:rFonts w:ascii="Arial" w:hAnsi="Arial" w:cs="Arial"/>
          <w:b/>
          <w:bCs/>
          <w:color w:val="242424"/>
          <w:sz w:val="21"/>
          <w:szCs w:val="21"/>
          <w:lang w:eastAsia="ru-RU"/>
        </w:rPr>
        <w:t>разрешение Росздравнадзора</w:t>
      </w:r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>.</w:t>
      </w:r>
    </w:p>
    <w:p w:rsidR="00AB6BD1" w:rsidRPr="00AB6BD1" w:rsidRDefault="00AB6BD1" w:rsidP="00AB6BD1">
      <w:pPr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 xml:space="preserve">Рецептурные препараты являются </w:t>
      </w:r>
      <w:r w:rsidRPr="00AB6BD1">
        <w:rPr>
          <w:rFonts w:ascii="Arial" w:hAnsi="Arial" w:cs="Arial"/>
          <w:b/>
          <w:bCs/>
          <w:color w:val="242424"/>
          <w:sz w:val="21"/>
          <w:szCs w:val="21"/>
          <w:lang w:eastAsia="ru-RU"/>
        </w:rPr>
        <w:t>исключением</w:t>
      </w:r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 xml:space="preserve">, однако в условиях чрезвычайной ситуации и при возникновении угрозы распространения заболевания, представляющего опасность для окружающих, правительство вправе установить временный порядок дистанционной торговли некоторыми из них, что </w:t>
      </w:r>
      <w:r w:rsidRPr="00AB6BD1">
        <w:rPr>
          <w:rFonts w:ascii="Arial" w:hAnsi="Arial" w:cs="Arial"/>
          <w:b/>
          <w:bCs/>
          <w:color w:val="242424"/>
          <w:sz w:val="21"/>
          <w:szCs w:val="21"/>
          <w:lang w:eastAsia="ru-RU"/>
        </w:rPr>
        <w:t>позволит продавать дистанционно и часть рецептурных лекарств</w:t>
      </w:r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>.</w:t>
      </w:r>
    </w:p>
    <w:p w:rsidR="00AB6BD1" w:rsidRPr="00AB6BD1" w:rsidRDefault="00AB6BD1" w:rsidP="00AB6BD1">
      <w:pPr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AB6BD1">
        <w:rPr>
          <w:rFonts w:ascii="Arial" w:hAnsi="Arial" w:cs="Arial"/>
          <w:b/>
          <w:bCs/>
          <w:color w:val="242424"/>
          <w:sz w:val="21"/>
          <w:szCs w:val="21"/>
          <w:lang w:eastAsia="ru-RU"/>
        </w:rPr>
        <w:t>Что делать, если лекарственный препарат в аптеке оказался некачественным? Можно ли его вернуть в аптеку? Как вернуть деньги за препарат?</w:t>
      </w:r>
    </w:p>
    <w:p w:rsidR="00AB6BD1" w:rsidRPr="00AB6BD1" w:rsidRDefault="00AB6BD1" w:rsidP="00AB6BD1">
      <w:pPr>
        <w:spacing w:after="15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>Аптечная организация обязана по запросу потребителя предоставить копию декларации о соответствии или сертификата соответствия.</w:t>
      </w:r>
    </w:p>
    <w:p w:rsidR="00AB6BD1" w:rsidRPr="00AB6BD1" w:rsidRDefault="00AB6BD1" w:rsidP="00AB6BD1">
      <w:pPr>
        <w:spacing w:after="15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>Лекарственные препараты могут быть возвращены потребителем в аптеку только в том случае, если они ненадлежащего качества или их продажа сопровождалась распространением ненадлежащей информации (недостоверная реклама или ошибка в описании товара на сайте продавца).</w:t>
      </w:r>
    </w:p>
    <w:p w:rsidR="00AB6BD1" w:rsidRPr="00AB6BD1" w:rsidRDefault="00AB6BD1" w:rsidP="00AB6BD1">
      <w:pPr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>Некачественным является препарат, который не соответствует показателям качества, установленным нормативной документацией. В большинстве случаев потребитель не может самостоятельно определить является ли лекарственное средство некачественным или нет. Исследования на соответствие требованиям нормативной документации осуществляются экспертными организациями, аккредитованными в области контроля качества лекарственных средств. Подробнее см. информацию на сайте Росздравнадзора (</w:t>
      </w:r>
      <w:hyperlink r:id="rId7" w:history="1">
        <w:r w:rsidRPr="00AB6BD1">
          <w:rPr>
            <w:rFonts w:ascii="Arial" w:hAnsi="Arial" w:cs="Arial"/>
            <w:color w:val="1D85B3"/>
            <w:sz w:val="21"/>
            <w:szCs w:val="21"/>
            <w:lang w:eastAsia="ru-RU"/>
          </w:rPr>
          <w:t>контроль качества лекарственных средств</w:t>
        </w:r>
      </w:hyperlink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 xml:space="preserve"> и мониторинг эффективности и </w:t>
      </w:r>
      <w:hyperlink r:id="rId8" w:history="1">
        <w:r w:rsidRPr="00AB6BD1">
          <w:rPr>
            <w:rFonts w:ascii="Arial" w:hAnsi="Arial" w:cs="Arial"/>
            <w:color w:val="1D85B3"/>
            <w:sz w:val="21"/>
            <w:szCs w:val="21"/>
            <w:lang w:eastAsia="ru-RU"/>
          </w:rPr>
          <w:t>безопасности лекарственных средств</w:t>
        </w:r>
      </w:hyperlink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>).</w:t>
      </w:r>
    </w:p>
    <w:p w:rsidR="00AB6BD1" w:rsidRPr="00AB6BD1" w:rsidRDefault="00AB6BD1" w:rsidP="00AB6BD1">
      <w:pPr>
        <w:spacing w:after="0" w:line="240" w:lineRule="auto"/>
        <w:jc w:val="both"/>
        <w:rPr>
          <w:rFonts w:ascii="Arial" w:hAnsi="Arial" w:cs="Arial"/>
          <w:color w:val="242424"/>
          <w:sz w:val="21"/>
          <w:szCs w:val="21"/>
          <w:lang w:eastAsia="ru-RU"/>
        </w:rPr>
      </w:pPr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 xml:space="preserve">Также рекомендуем ознакомиться с памятками: </w:t>
      </w:r>
      <w:hyperlink r:id="rId9" w:history="1">
        <w:r w:rsidRPr="00AB6BD1">
          <w:rPr>
            <w:rFonts w:ascii="Arial" w:hAnsi="Arial" w:cs="Arial"/>
            <w:color w:val="1D85B3"/>
            <w:sz w:val="21"/>
            <w:szCs w:val="21"/>
            <w:lang w:eastAsia="ru-RU"/>
          </w:rPr>
          <w:t>«Я приобрел препарат, мне кажется (я уверен), что это подделка. Где можно провести экспертизу препарата? (Как проверить подлинность)?»</w:t>
        </w:r>
      </w:hyperlink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 xml:space="preserve"> и </w:t>
      </w:r>
      <w:hyperlink r:id="rId10" w:history="1">
        <w:r w:rsidRPr="00AB6BD1">
          <w:rPr>
            <w:rFonts w:ascii="Arial" w:hAnsi="Arial" w:cs="Arial"/>
            <w:color w:val="1D85B3"/>
            <w:sz w:val="21"/>
            <w:szCs w:val="21"/>
            <w:lang w:eastAsia="ru-RU"/>
          </w:rPr>
          <w:t>ВНИМАНИЮ ПОТРЕБИТЕЛЯ: Возврат, обмен, замена товара в аптеке</w:t>
        </w:r>
      </w:hyperlink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>.</w:t>
      </w:r>
    </w:p>
    <w:p w:rsidR="00AB6BD1" w:rsidRDefault="00AB6BD1" w:rsidP="00223779">
      <w:pPr>
        <w:spacing w:after="0" w:line="240" w:lineRule="auto"/>
        <w:jc w:val="both"/>
      </w:pPr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 xml:space="preserve">Кроме того, традиционно обращаем внимание, что биологически активные добавки к пище (БАД), являясь дополнительными источниками биологически активных веществ, в том числе аминокислот, пищевых волокон, витаминов и минеральных веществ, способствуют ликвидации дефицита макро- и микронутриентов, оптимизации пищевого рациона, </w:t>
      </w:r>
      <w:r w:rsidRPr="00AB6BD1">
        <w:rPr>
          <w:rFonts w:ascii="Arial" w:hAnsi="Arial" w:cs="Arial"/>
          <w:b/>
          <w:bCs/>
          <w:color w:val="242424"/>
          <w:sz w:val="21"/>
          <w:szCs w:val="21"/>
          <w:lang w:eastAsia="ru-RU"/>
        </w:rPr>
        <w:t>но не могут использоваться для лечения каких-либо заболеваний, так как не являются лекарственными средствами</w:t>
      </w:r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 xml:space="preserve">. Подробнее см. памятку </w:t>
      </w:r>
      <w:hyperlink r:id="rId11" w:history="1">
        <w:r w:rsidRPr="00AB6BD1">
          <w:rPr>
            <w:rFonts w:ascii="Arial" w:hAnsi="Arial" w:cs="Arial"/>
            <w:color w:val="1D85B3"/>
            <w:sz w:val="21"/>
            <w:szCs w:val="21"/>
            <w:lang w:eastAsia="ru-RU"/>
          </w:rPr>
          <w:t>«Что нужно знать о биологически активных добавках к пище»</w:t>
        </w:r>
      </w:hyperlink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 xml:space="preserve">. Сведения о БАД можно проверить в сети «Интернет» по адресам: </w:t>
      </w:r>
      <w:hyperlink r:id="rId12" w:history="1">
        <w:r w:rsidRPr="00AB6BD1">
          <w:rPr>
            <w:rFonts w:ascii="Arial" w:hAnsi="Arial" w:cs="Arial"/>
            <w:color w:val="1D85B3"/>
            <w:sz w:val="21"/>
            <w:szCs w:val="21"/>
            <w:lang w:eastAsia="ru-RU"/>
          </w:rPr>
          <w:t>http://www.eurasiancommission.org/</w:t>
        </w:r>
      </w:hyperlink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 xml:space="preserve"> и </w:t>
      </w:r>
      <w:hyperlink r:id="rId13" w:history="1">
        <w:r w:rsidRPr="00AB6BD1">
          <w:rPr>
            <w:rFonts w:ascii="Arial" w:hAnsi="Arial" w:cs="Arial"/>
            <w:color w:val="1D85B3"/>
            <w:sz w:val="21"/>
            <w:szCs w:val="21"/>
            <w:lang w:eastAsia="ru-RU"/>
          </w:rPr>
          <w:t>http://fp.crc.ru</w:t>
        </w:r>
      </w:hyperlink>
      <w:r w:rsidRPr="00AB6BD1">
        <w:rPr>
          <w:rFonts w:ascii="Arial" w:hAnsi="Arial" w:cs="Arial"/>
          <w:color w:val="242424"/>
          <w:sz w:val="21"/>
          <w:szCs w:val="21"/>
          <w:lang w:eastAsia="ru-RU"/>
        </w:rPr>
        <w:t xml:space="preserve"> (российская часть).</w:t>
      </w:r>
    </w:p>
    <w:sectPr w:rsidR="00AB6BD1" w:rsidSect="00D05FC0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8C8" w:rsidRDefault="00AD68C8" w:rsidP="00AB6BD1">
      <w:pPr>
        <w:spacing w:after="0" w:line="240" w:lineRule="auto"/>
      </w:pPr>
      <w:r>
        <w:separator/>
      </w:r>
    </w:p>
  </w:endnote>
  <w:endnote w:type="continuationSeparator" w:id="1">
    <w:p w:rsidR="00AD68C8" w:rsidRDefault="00AD68C8" w:rsidP="00AB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D1" w:rsidRDefault="00AB6BD1">
    <w:pPr>
      <w:pStyle w:val="a5"/>
    </w:pPr>
    <w:r>
      <w:t xml:space="preserve">Источник: </w:t>
    </w:r>
    <w:hyperlink r:id="rId1" w:history="1">
      <w:r w:rsidRPr="00FE4D2B">
        <w:rPr>
          <w:rStyle w:val="a7"/>
          <w:rFonts w:cstheme="minorBidi"/>
        </w:rPr>
        <w:t>https://rospotrebnadzor.ru/about/info/news/news_details.php?ELEMENT_ID=14336</w:t>
      </w:r>
    </w:hyperlink>
  </w:p>
  <w:p w:rsidR="00AB6BD1" w:rsidRDefault="00AB6B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8C8" w:rsidRDefault="00AD68C8" w:rsidP="00AB6BD1">
      <w:pPr>
        <w:spacing w:after="0" w:line="240" w:lineRule="auto"/>
      </w:pPr>
      <w:r>
        <w:separator/>
      </w:r>
    </w:p>
  </w:footnote>
  <w:footnote w:type="continuationSeparator" w:id="1">
    <w:p w:rsidR="00AD68C8" w:rsidRDefault="00AD68C8" w:rsidP="00AB6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3479"/>
    <w:multiLevelType w:val="multilevel"/>
    <w:tmpl w:val="99EE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B6BD1"/>
    <w:rsid w:val="00223779"/>
    <w:rsid w:val="0040493C"/>
    <w:rsid w:val="00797986"/>
    <w:rsid w:val="00805086"/>
    <w:rsid w:val="00817F0E"/>
    <w:rsid w:val="008861A5"/>
    <w:rsid w:val="00953078"/>
    <w:rsid w:val="00A654B5"/>
    <w:rsid w:val="00AB6BD1"/>
    <w:rsid w:val="00AD68C8"/>
    <w:rsid w:val="00BF2181"/>
    <w:rsid w:val="00D05FC0"/>
    <w:rsid w:val="00D56E11"/>
    <w:rsid w:val="00E0200D"/>
    <w:rsid w:val="00F32A74"/>
    <w:rsid w:val="00F44348"/>
    <w:rsid w:val="00FE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C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B6BD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B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B6BD1"/>
    <w:rPr>
      <w:rFonts w:cs="Times New Roman"/>
    </w:rPr>
  </w:style>
  <w:style w:type="character" w:styleId="a7">
    <w:name w:val="Hyperlink"/>
    <w:basedOn w:val="a0"/>
    <w:uiPriority w:val="99"/>
    <w:unhideWhenUsed/>
    <w:rsid w:val="00AB6BD1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6BD1"/>
    <w:rPr>
      <w:rFonts w:cs="Times New Roman"/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79798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4894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8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48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zdravnadzor.ru/drugs/monitpringlp" TargetMode="External"/><Relationship Id="rId13" Type="http://schemas.openxmlformats.org/officeDocument/2006/relationships/hyperlink" Target="http://fp.cr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zdravnadzor.ru/drugs/qualitycontrol" TargetMode="External"/><Relationship Id="rId12" Type="http://schemas.openxmlformats.org/officeDocument/2006/relationships/hyperlink" Target="http://www.eurasiancommission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potrebnadzor.ru/about/info/news/news_details.php?ELEMENT_ID=119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pp.rospotrebnadzor.ru/news/federal/201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zdravnadzor.ru/drugs/qualitycontrol/faq/c1011/2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spotrebnadzor.ru/about/info/news/news_details.php?ELEMENT_ID=14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зимина</dc:creator>
  <cp:lastModifiedBy>6417</cp:lastModifiedBy>
  <cp:revision>3</cp:revision>
  <dcterms:created xsi:type="dcterms:W3CDTF">2020-05-04T19:24:00Z</dcterms:created>
  <dcterms:modified xsi:type="dcterms:W3CDTF">2020-05-04T19:24:00Z</dcterms:modified>
</cp:coreProperties>
</file>